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16" w:rsidRDefault="00777DC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545" behindDoc="1" locked="0" layoutInCell="0" allowOverlap="1">
            <wp:simplePos x="0" y="0"/>
            <wp:positionH relativeFrom="page">
              <wp:posOffset>1098550</wp:posOffset>
            </wp:positionH>
            <wp:positionV relativeFrom="page">
              <wp:posOffset>584200</wp:posOffset>
            </wp:positionV>
            <wp:extent cx="1375410" cy="26543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58" behindDoc="1" locked="0" layoutInCell="0" allowOverlap="1">
            <wp:simplePos x="0" y="0"/>
            <wp:positionH relativeFrom="page">
              <wp:posOffset>5824220</wp:posOffset>
            </wp:positionH>
            <wp:positionV relativeFrom="page">
              <wp:posOffset>490220</wp:posOffset>
            </wp:positionV>
            <wp:extent cx="520700" cy="4546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216" w:rsidRDefault="007D0B68">
      <w:pPr>
        <w:tabs>
          <w:tab w:val="left" w:pos="5800"/>
        </w:tabs>
        <w:spacing w:before="397" w:after="0" w:line="440" w:lineRule="exact"/>
        <w:ind w:left="5253" w:right="4539"/>
      </w:pPr>
      <w:bookmarkStart w:id="0" w:name="_Hlk88646028"/>
      <w:r>
        <w:rPr>
          <w:rFonts w:ascii="Times New Roman" w:hAnsi="Times New Roman" w:cs="Times New Roman"/>
          <w:color w:val="006666"/>
          <w:w w:val="86"/>
          <w:sz w:val="36"/>
          <w:szCs w:val="36"/>
        </w:rPr>
        <w:t xml:space="preserve">PROGRAMA </w:t>
      </w:r>
      <w:r>
        <w:br/>
      </w:r>
      <w:r>
        <w:rPr>
          <w:rFonts w:ascii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hAnsi="Times New Roman" w:cs="Times New Roman"/>
          <w:color w:val="006666"/>
          <w:w w:val="86"/>
          <w:sz w:val="36"/>
          <w:szCs w:val="36"/>
        </w:rPr>
        <w:t>202</w:t>
      </w:r>
      <w:r w:rsidR="00777DC4">
        <w:rPr>
          <w:rFonts w:ascii="Times New Roman" w:hAnsi="Times New Roman" w:cs="Times New Roman"/>
          <w:color w:val="006666"/>
          <w:w w:val="86"/>
          <w:sz w:val="36"/>
          <w:szCs w:val="36"/>
        </w:rPr>
        <w:t>2</w:t>
      </w:r>
    </w:p>
    <w:p w:rsidR="00624216" w:rsidRDefault="00624216">
      <w:pPr>
        <w:spacing w:after="0" w:line="370" w:lineRule="exact"/>
        <w:ind w:left="1703"/>
        <w:rPr>
          <w:sz w:val="24"/>
          <w:szCs w:val="24"/>
        </w:rPr>
      </w:pPr>
    </w:p>
    <w:p w:rsidR="00624216" w:rsidRDefault="007D0B68">
      <w:pPr>
        <w:tabs>
          <w:tab w:val="left" w:pos="2066"/>
        </w:tabs>
        <w:spacing w:before="288" w:after="0" w:line="370" w:lineRule="exact"/>
        <w:ind w:left="1703" w:right="1161"/>
      </w:pPr>
      <w:r>
        <w:rPr>
          <w:rFonts w:ascii="Times New Roman" w:hAnsi="Times New Roman" w:cs="Times New Roman"/>
          <w:color w:val="006666"/>
          <w:w w:val="102"/>
          <w:sz w:val="32"/>
          <w:szCs w:val="32"/>
        </w:rPr>
        <w:t xml:space="preserve">PROCEDIMIENTO DE ADJUDICACIÓN DE LAS BECAS DE </w:t>
      </w:r>
      <w:r>
        <w:br/>
      </w:r>
      <w:r>
        <w:rPr>
          <w:rFonts w:ascii="Times New Roman" w:hAnsi="Times New Roman" w:cs="Times New Roman"/>
          <w:color w:val="006666"/>
          <w:w w:val="101"/>
          <w:sz w:val="32"/>
          <w:szCs w:val="32"/>
        </w:rPr>
        <w:t xml:space="preserve">FORMACIÓN PARA LA REALIZACIÓN DE CURSOS DEL </w:t>
      </w:r>
      <w:r>
        <w:br/>
      </w:r>
      <w:r>
        <w:rPr>
          <w:rFonts w:ascii="Times New Roman" w:hAnsi="Times New Roman" w:cs="Times New Roman"/>
          <w:color w:val="006666"/>
          <w:sz w:val="32"/>
          <w:szCs w:val="32"/>
        </w:rPr>
        <w:tab/>
      </w:r>
      <w:r>
        <w:rPr>
          <w:rFonts w:ascii="Times New Roman" w:hAnsi="Times New Roman" w:cs="Times New Roman"/>
          <w:color w:val="006666"/>
          <w:w w:val="101"/>
          <w:sz w:val="32"/>
          <w:szCs w:val="32"/>
        </w:rPr>
        <w:t>CENTRO DE CIRUGÍA DE MÍNIMA INVASIÓN “JESÚS</w:t>
      </w:r>
    </w:p>
    <w:p w:rsidR="00624216" w:rsidRDefault="007D0B68">
      <w:pPr>
        <w:spacing w:before="1" w:after="0" w:line="357" w:lineRule="exact"/>
        <w:ind w:left="3347"/>
      </w:pPr>
      <w:r>
        <w:rPr>
          <w:rFonts w:ascii="Times New Roman" w:hAnsi="Times New Roman" w:cs="Times New Roman"/>
          <w:color w:val="006666"/>
          <w:w w:val="103"/>
          <w:sz w:val="32"/>
          <w:szCs w:val="32"/>
        </w:rPr>
        <w:t>USÓN” (CCMIJU). PROGRAMA 202</w:t>
      </w:r>
      <w:r w:rsidR="00777DC4">
        <w:rPr>
          <w:rFonts w:ascii="Times New Roman" w:hAnsi="Times New Roman" w:cs="Times New Roman"/>
          <w:color w:val="006666"/>
          <w:w w:val="103"/>
          <w:sz w:val="32"/>
          <w:szCs w:val="32"/>
        </w:rPr>
        <w:t>2</w:t>
      </w:r>
    </w:p>
    <w:p w:rsidR="00624216" w:rsidRDefault="00624216">
      <w:pPr>
        <w:spacing w:after="0" w:line="273" w:lineRule="exact"/>
        <w:ind w:left="1701"/>
        <w:rPr>
          <w:sz w:val="24"/>
          <w:szCs w:val="24"/>
        </w:rPr>
      </w:pPr>
    </w:p>
    <w:p w:rsidR="00624216" w:rsidRDefault="007D0B68">
      <w:pPr>
        <w:spacing w:before="14" w:after="0" w:line="273" w:lineRule="exact"/>
        <w:ind w:left="1701" w:right="1220"/>
        <w:jc w:val="both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1.- Desde</w:t>
      </w:r>
      <w:bookmarkStart w:id="1" w:name="_GoBack"/>
      <w:bookmarkEnd w:id="1"/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el </w:t>
      </w:r>
      <w:r w:rsidR="00AC5C80">
        <w:rPr>
          <w:rFonts w:ascii="Times New Roman" w:hAnsi="Times New Roman" w:cs="Times New Roman"/>
          <w:color w:val="000000"/>
          <w:w w:val="118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de </w:t>
      </w:r>
      <w:r w:rsidR="00AC5C8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diciembre de 2021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hasta el </w:t>
      </w:r>
      <w:r w:rsidR="00AC5C8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15 de enero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de 202</w:t>
      </w:r>
      <w:r w:rsidR="00AC5C80">
        <w:rPr>
          <w:rFonts w:ascii="Times New Roman" w:hAnsi="Times New Roman" w:cs="Times New Roman"/>
          <w:color w:val="000000"/>
          <w:w w:val="118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, se encuentra </w:t>
      </w:r>
      <w:r>
        <w:br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abierto el plazo para realizar las solicitudes a los cursos programados por el </w:t>
      </w:r>
      <w:r>
        <w:br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CCMIJU en el </w:t>
      </w:r>
      <w:r>
        <w:rPr>
          <w:rFonts w:ascii="Times New Roman" w:hAnsi="Times New Roman" w:cs="Times New Roman"/>
          <w:color w:val="006666"/>
          <w:w w:val="110"/>
          <w:sz w:val="24"/>
          <w:szCs w:val="24"/>
        </w:rPr>
        <w:t>PROGRAMA 202</w:t>
      </w:r>
      <w:r w:rsidR="00777DC4">
        <w:rPr>
          <w:rFonts w:ascii="Times New Roman" w:hAnsi="Times New Roman" w:cs="Times New Roman"/>
          <w:color w:val="006666"/>
          <w:w w:val="110"/>
          <w:sz w:val="24"/>
          <w:szCs w:val="24"/>
        </w:rPr>
        <w:t>2</w:t>
      </w:r>
      <w:r>
        <w:rPr>
          <w:rFonts w:ascii="Times New Roman" w:hAnsi="Times New Roman" w:cs="Times New Roman"/>
          <w:color w:val="75913B"/>
          <w:w w:val="11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dirigidos a Facultativos Especialistas de Área </w:t>
      </w:r>
      <w:r>
        <w:br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(FEAs) y Residentes de las especialidades en el perfil de los respectivos cursos.</w:t>
      </w:r>
    </w:p>
    <w:p w:rsidR="00624216" w:rsidRDefault="00624216">
      <w:pPr>
        <w:spacing w:after="0" w:line="273" w:lineRule="exact"/>
        <w:ind w:left="1701"/>
        <w:rPr>
          <w:sz w:val="24"/>
          <w:szCs w:val="24"/>
        </w:rPr>
      </w:pPr>
    </w:p>
    <w:p w:rsidR="00624216" w:rsidRDefault="007D0B68">
      <w:pPr>
        <w:spacing w:before="14" w:after="0" w:line="273" w:lineRule="exact"/>
        <w:ind w:left="1701" w:right="1219"/>
        <w:jc w:val="both"/>
      </w:pP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2.- Una vez finalizado el plazo de admisión de solicitudes, se hace el estudio de las </w:t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necesidades formativas detectadas que termina con el Convenio Consejería-</w:t>
      </w:r>
      <w:r>
        <w:br/>
      </w: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CCMIJU en base a las necesidades, la capacidad formativa del CCMI y el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presupuesto disponible para el año en curso.</w:t>
      </w:r>
    </w:p>
    <w:p w:rsidR="00624216" w:rsidRDefault="00624216">
      <w:pPr>
        <w:spacing w:after="0" w:line="276" w:lineRule="exact"/>
        <w:ind w:left="1701"/>
        <w:rPr>
          <w:sz w:val="24"/>
          <w:szCs w:val="24"/>
        </w:rPr>
      </w:pPr>
    </w:p>
    <w:p w:rsidR="00624216" w:rsidRDefault="007D0B68">
      <w:pPr>
        <w:spacing w:before="9" w:after="0" w:line="276" w:lineRule="exact"/>
        <w:ind w:left="1701" w:right="1220"/>
        <w:jc w:val="both"/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3.- Resuelto el nº de plazas por cada actividad formativa, se informa en la página </w:t>
      </w:r>
      <w:r>
        <w:br/>
      </w: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Web de la Escuela de Ciencias de la Salud y de la Atención Sociosanitaria </w:t>
      </w:r>
      <w:r>
        <w:br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(</w:t>
      </w:r>
      <w:hyperlink r:id="rId6" w:history="1">
        <w:r>
          <w:rPr>
            <w:rFonts w:ascii="Times New Roman" w:hAnsi="Times New Roman" w:cs="Times New Roman"/>
            <w:color w:val="0000FF"/>
            <w:w w:val="110"/>
            <w:sz w:val="24"/>
            <w:szCs w:val="24"/>
            <w:u w:val="single"/>
          </w:rPr>
          <w:t>https://saludextremadura.ses.es/escuelasalud/web/inicio</w:t>
        </w:r>
      </w:hyperlink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)  para  conocimiento  de </w:t>
      </w:r>
      <w:r>
        <w:br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todos los interesados. Posteriormente se valoran las solicitudes por actividad </w:t>
      </w:r>
      <w: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formativa y se priorizan según los criterios acordados en la Comisión de Formación </w:t>
      </w:r>
      <w:r>
        <w:br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Especializada en Ciencias de la Salud de Extremadura. Estos criterios son los </w:t>
      </w:r>
      <w:r>
        <w:br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siguientes:</w:t>
      </w:r>
    </w:p>
    <w:p w:rsidR="00624216" w:rsidRDefault="007D0B68">
      <w:pPr>
        <w:spacing w:before="264" w:after="0" w:line="276" w:lineRule="exact"/>
        <w:ind w:left="240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En el caso de los </w:t>
      </w:r>
      <w:r w:rsidRPr="00AC5C80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Facultativos Especialistas de Área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(FEAs):</w:t>
      </w:r>
    </w:p>
    <w:p w:rsidR="00624216" w:rsidRDefault="00624216">
      <w:pPr>
        <w:spacing w:after="0" w:line="276" w:lineRule="exact"/>
        <w:ind w:left="3117"/>
        <w:rPr>
          <w:sz w:val="24"/>
          <w:szCs w:val="24"/>
        </w:rPr>
      </w:pPr>
    </w:p>
    <w:p w:rsidR="00624216" w:rsidRDefault="007D0B68">
      <w:pPr>
        <w:spacing w:before="8" w:after="0" w:line="276" w:lineRule="exact"/>
        <w:ind w:left="3117"/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1.- No haber realizado ninguna actividad del tipo que solicita.</w:t>
      </w:r>
    </w:p>
    <w:p w:rsidR="00624216" w:rsidRDefault="007D0B68">
      <w:pPr>
        <w:spacing w:before="4" w:after="0" w:line="276" w:lineRule="exact"/>
        <w:ind w:left="3117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2.- Ser tutor de residentes.</w:t>
      </w:r>
    </w:p>
    <w:p w:rsidR="00624216" w:rsidRDefault="007D0B68">
      <w:pPr>
        <w:spacing w:before="264" w:after="0" w:line="276" w:lineRule="exact"/>
        <w:ind w:left="240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En el caso de los </w:t>
      </w:r>
      <w:r w:rsidRPr="00AC5C80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Residentes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:</w:t>
      </w:r>
    </w:p>
    <w:p w:rsidR="00624216" w:rsidRDefault="00624216">
      <w:pPr>
        <w:spacing w:after="0" w:line="276" w:lineRule="exact"/>
        <w:ind w:left="3117"/>
        <w:rPr>
          <w:sz w:val="24"/>
          <w:szCs w:val="24"/>
        </w:rPr>
      </w:pPr>
    </w:p>
    <w:p w:rsidR="00624216" w:rsidRDefault="007D0B68">
      <w:pPr>
        <w:spacing w:before="8" w:after="0" w:line="276" w:lineRule="exact"/>
        <w:ind w:left="3117"/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1.- Adecuación del curso a su especialidad.</w:t>
      </w:r>
    </w:p>
    <w:p w:rsidR="00624216" w:rsidRDefault="007D0B68">
      <w:pPr>
        <w:spacing w:before="4" w:after="0" w:line="276" w:lineRule="exact"/>
        <w:ind w:left="3117"/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2.- No haber realizado ninguna actividad del tipo que solicita.</w:t>
      </w:r>
    </w:p>
    <w:p w:rsidR="00624216" w:rsidRDefault="007D0B68">
      <w:pPr>
        <w:spacing w:before="4" w:after="0" w:line="276" w:lineRule="exact"/>
        <w:ind w:left="3117"/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3.- Año de residencia.</w:t>
      </w:r>
    </w:p>
    <w:p w:rsidR="00624216" w:rsidRDefault="007D0B68">
      <w:pPr>
        <w:spacing w:before="261" w:after="0" w:line="280" w:lineRule="exact"/>
        <w:ind w:left="1701" w:right="1220"/>
        <w:jc w:val="both"/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4.- Al menos 20 días antes de la celebración del curso, se notificará al interesado/a </w:t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de la adjudicación de la beca de formación, que consistirá en el pago de la 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matricula, sin derecho a percibir remuneración por dieta o kilometraje.</w:t>
      </w:r>
    </w:p>
    <w:p w:rsidR="00624216" w:rsidRDefault="007D0B68">
      <w:pPr>
        <w:spacing w:before="260" w:after="0" w:line="280" w:lineRule="exact"/>
        <w:ind w:left="1701" w:right="1220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5.- La Escuela de Ciencias de la Salud y de la Atención Sociosanitaria, con 15 días </w:t>
      </w:r>
      <w:r>
        <w:br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de antelación, notificará al CCMIJU los datos de los alumnos para cada curso.</w:t>
      </w:r>
      <w:bookmarkEnd w:id="0"/>
    </w:p>
    <w:p w:rsidR="00D85DE8" w:rsidRPr="00D85DE8" w:rsidRDefault="00D85DE8" w:rsidP="00D85DE8">
      <w:pPr>
        <w:spacing w:before="260" w:after="0" w:line="280" w:lineRule="exact"/>
        <w:ind w:left="1701" w:right="1220"/>
        <w:jc w:val="both"/>
        <w:rPr>
          <w:rFonts w:ascii="Times New Roman" w:hAnsi="Times New Roman" w:cs="Times New Roman"/>
          <w:color w:val="000000"/>
          <w:w w:val="109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6.- </w:t>
      </w:r>
      <w:r w:rsidRPr="00D85DE8">
        <w:rPr>
          <w:rFonts w:ascii="Times New Roman" w:hAnsi="Times New Roman" w:cs="Times New Roman"/>
          <w:color w:val="000000"/>
          <w:w w:val="109"/>
          <w:sz w:val="24"/>
          <w:szCs w:val="24"/>
          <w:lang w:val="es-ES"/>
        </w:rPr>
        <w:t xml:space="preserve">Con carácter general, para participar en las diferentes acciones formativas los </w:t>
      </w:r>
      <w:r>
        <w:rPr>
          <w:rFonts w:ascii="Times New Roman" w:hAnsi="Times New Roman" w:cs="Times New Roman"/>
          <w:color w:val="000000"/>
          <w:w w:val="109"/>
          <w:sz w:val="24"/>
          <w:szCs w:val="24"/>
          <w:lang w:val="es-ES"/>
        </w:rPr>
        <w:t xml:space="preserve">profesionales </w:t>
      </w:r>
      <w:r w:rsidRPr="00D85DE8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  <w:lang w:val="es-ES"/>
        </w:rPr>
        <w:t>deberá</w:t>
      </w:r>
      <w:r w:rsidRPr="00D85DE8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  <w:lang w:val="es-ES"/>
        </w:rPr>
        <w:t>n</w:t>
      </w:r>
      <w:r w:rsidRPr="00D85DE8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  <w:lang w:val="es-ES"/>
        </w:rPr>
        <w:t xml:space="preserve"> encontrarse en situación de servicio activo</w:t>
      </w:r>
      <w:r w:rsidRPr="00D85DE8">
        <w:rPr>
          <w:rFonts w:ascii="Times New Roman" w:hAnsi="Times New Roman" w:cs="Times New Roman"/>
          <w:color w:val="000000"/>
          <w:w w:val="109"/>
          <w:sz w:val="24"/>
          <w:szCs w:val="24"/>
          <w:lang w:val="es-ES"/>
        </w:rPr>
        <w:t xml:space="preserve">. La situación de incapacidad temporal impedirá la participación en las acciones formativas que se desarrollen. Podrán participar en las mismas los </w:t>
      </w:r>
      <w:r>
        <w:rPr>
          <w:rFonts w:ascii="Times New Roman" w:hAnsi="Times New Roman" w:cs="Times New Roman"/>
          <w:color w:val="000000"/>
          <w:w w:val="109"/>
          <w:sz w:val="24"/>
          <w:szCs w:val="24"/>
          <w:lang w:val="es-ES"/>
        </w:rPr>
        <w:t xml:space="preserve">profesionales </w:t>
      </w:r>
      <w:r w:rsidRPr="00D85DE8">
        <w:rPr>
          <w:rFonts w:ascii="Times New Roman" w:hAnsi="Times New Roman" w:cs="Times New Roman"/>
          <w:color w:val="000000"/>
          <w:w w:val="109"/>
          <w:sz w:val="24"/>
          <w:szCs w:val="24"/>
          <w:lang w:val="es-ES"/>
        </w:rPr>
        <w:t>durante los permisos por conciliación de la vida familiar, laboral y por razón de violencia de género, así como los que se encuentren en situación de excedencia por cuidado familiar, por razón de violencia de género o por razón de violencia terrorista o en situación de servicios especiales.</w:t>
      </w:r>
    </w:p>
    <w:sectPr w:rsidR="00D85DE8" w:rsidRPr="00D85DE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777F7"/>
    <w:rsid w:val="00624216"/>
    <w:rsid w:val="00777DC4"/>
    <w:rsid w:val="007D0B68"/>
    <w:rsid w:val="008202E3"/>
    <w:rsid w:val="00AC5C80"/>
    <w:rsid w:val="00BE0D92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09222"/>
  <w15:docId w15:val="{805EB797-510F-49F3-B541-2FF44E5C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udextremadura.ses.es/escuelasalud/web/inici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Fernandez Garcia-Hierro</dc:creator>
  <cp:keywords/>
  <dc:description/>
  <cp:lastModifiedBy>Maria Guadalupe Fernandez Garcia-Hierro</cp:lastModifiedBy>
  <cp:revision>7</cp:revision>
  <dcterms:created xsi:type="dcterms:W3CDTF">2021-11-24T10:27:00Z</dcterms:created>
  <dcterms:modified xsi:type="dcterms:W3CDTF">2021-11-25T10:20:00Z</dcterms:modified>
</cp:coreProperties>
</file>